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</w:pPr>
      <w:bookmarkStart w:id="0" w:name="_GoBack"/>
      <w:bookmarkEnd w:id="0"/>
    </w:p>
    <w:p>
      <w:pPr>
        <w:spacing w:line="360" w:lineRule="auto"/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广西壮族自治区生殖医院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医疗设备管理系统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简易需求</w:t>
      </w:r>
    </w:p>
    <w:tbl>
      <w:tblPr>
        <w:tblStyle w:val="16"/>
        <w:tblW w:w="93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0"/>
        <w:gridCol w:w="5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3"/>
                <w:lang w:val="en-US" w:eastAsia="zh-CN" w:bidi="ar"/>
              </w:rPr>
              <w:t>名称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3"/>
                <w:lang w:val="en-US" w:eastAsia="zh-CN" w:bidi="ar"/>
              </w:rPr>
              <w:t>功能需求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3"/>
                <w:lang w:val="en-US" w:eastAsia="zh-CN" w:bidi="ar"/>
              </w:rPr>
              <w:t>1、系统基础设置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3"/>
                <w:rFonts w:hint="eastAsia"/>
                <w:color w:val="0000FF"/>
                <w:lang w:val="en-US" w:eastAsia="zh-CN" w:bidi="ar"/>
              </w:rPr>
              <w:t>系统架构要求以医疗设备质量管理为基础，实现对医疗设备的采购、供应商、证照、合同、档案、验收、入库、建卡、领用、保养、维修、巡检、质控、调拨、计量、折旧、报废等各个环节形成全生命周期的精细化动态管理。</w:t>
            </w:r>
            <w:r>
              <w:rPr>
                <w:rStyle w:val="33"/>
                <w:lang w:val="en-US" w:eastAsia="zh-CN" w:bidi="ar"/>
              </w:rPr>
              <w:t>包括</w:t>
            </w:r>
            <w:r>
              <w:rPr>
                <w:rStyle w:val="33"/>
                <w:rFonts w:hint="eastAsia"/>
                <w:lang w:val="en-US" w:eastAsia="zh-CN" w:bidi="ar"/>
              </w:rPr>
              <w:t>不限于</w:t>
            </w:r>
            <w:r>
              <w:rPr>
                <w:rStyle w:val="33"/>
                <w:lang w:val="en-US" w:eastAsia="zh-CN" w:bidi="ar"/>
              </w:rPr>
              <w:t>：医疗器械分类管理、医疗设备基础档案管理、多仓库分权限管理、人员权限管理等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3"/>
                <w:lang w:val="en-US" w:eastAsia="zh-CN" w:bidi="ar"/>
              </w:rPr>
              <w:t>2、医疗设备采购管理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包括不限于：采购管理、合同管理、预算关联、票据（发票）管理、应付款管理</w:t>
            </w:r>
            <w:r>
              <w:rPr>
                <w:rStyle w:val="34"/>
                <w:lang w:val="en-US" w:eastAsia="zh-CN" w:bidi="ar"/>
              </w:rPr>
              <w:t>、</w:t>
            </w:r>
            <w:r>
              <w:rPr>
                <w:rStyle w:val="33"/>
                <w:lang w:val="en-US" w:eastAsia="zh-CN" w:bidi="ar"/>
              </w:rPr>
              <w:t>验收入库、科室领用出库、退库管理、入账审核登记</w:t>
            </w:r>
            <w:r>
              <w:rPr>
                <w:rStyle w:val="34"/>
                <w:lang w:val="en-US" w:eastAsia="zh-CN" w:bidi="ar"/>
              </w:rPr>
              <w:t>、库存查询等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3"/>
                <w:lang w:val="en-US" w:eastAsia="zh-CN" w:bidi="ar"/>
              </w:rPr>
              <w:t>3、医疗设备资产管理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3"/>
                <w:lang w:val="en-US" w:eastAsia="zh-CN" w:bidi="ar"/>
              </w:rPr>
              <w:t>包括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不限于</w:t>
            </w:r>
            <w:r>
              <w:rPr>
                <w:rStyle w:val="33"/>
                <w:lang w:val="en-US" w:eastAsia="zh-CN" w:bidi="ar"/>
              </w:rPr>
              <w:t>：设备资产新增、分类标识、</w:t>
            </w:r>
            <w:r>
              <w:rPr>
                <w:rStyle w:val="33"/>
                <w:rFonts w:hint="eastAsia"/>
                <w:lang w:val="en-US" w:eastAsia="zh-CN" w:bidi="ar"/>
              </w:rPr>
              <w:t>设备</w:t>
            </w:r>
            <w:r>
              <w:rPr>
                <w:rStyle w:val="33"/>
                <w:lang w:val="en-US" w:eastAsia="zh-CN" w:bidi="ar"/>
              </w:rPr>
              <w:t>档案管理、转移、报废、盘点、外调、台账查询、状态查询、使用率分析等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3"/>
                <w:lang w:val="en-US" w:eastAsia="zh-CN" w:bidi="ar"/>
              </w:rPr>
              <w:t>4、医疗设备维修管理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3"/>
                <w:lang w:val="en-US" w:eastAsia="zh-CN" w:bidi="ar"/>
              </w:rPr>
              <w:t>包括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不限于</w:t>
            </w:r>
            <w:r>
              <w:rPr>
                <w:rStyle w:val="33"/>
                <w:lang w:val="en-US" w:eastAsia="zh-CN" w:bidi="ar"/>
              </w:rPr>
              <w:t>：维修问题知识库、维修配件管理、科室故障报修、维修接单、转单、维修处理、维修审核、维修进程查询、维修验收、维修查询、工作量统计、维修费用统计分析、单机设备故障率分析等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3"/>
                <w:lang w:val="en-US" w:eastAsia="zh-CN" w:bidi="ar"/>
              </w:rPr>
              <w:t>5、计量管理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3"/>
                <w:lang w:val="en-US" w:eastAsia="zh-CN" w:bidi="ar"/>
              </w:rPr>
              <w:t>包括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不限于</w:t>
            </w:r>
            <w:r>
              <w:rPr>
                <w:rStyle w:val="33"/>
                <w:lang w:val="en-US" w:eastAsia="zh-CN" w:bidi="ar"/>
              </w:rPr>
              <w:t>;计量设备管理、计量强检日程、记录查询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3"/>
                <w:lang w:val="en-US" w:eastAsia="zh-CN" w:bidi="ar"/>
              </w:rPr>
              <w:t>6、PM保养管理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3"/>
                <w:lang w:val="en-US" w:eastAsia="zh-CN" w:bidi="ar"/>
              </w:rPr>
              <w:t>包括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不限于</w:t>
            </w:r>
            <w:r>
              <w:rPr>
                <w:rStyle w:val="33"/>
                <w:lang w:val="en-US" w:eastAsia="zh-CN" w:bidi="ar"/>
              </w:rPr>
              <w:t>：保养模板个性化定制；保养计划制定、实施、验收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3"/>
                <w:lang w:val="en-US" w:eastAsia="zh-CN" w:bidi="ar"/>
              </w:rPr>
              <w:t>7、质量控制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3"/>
                <w:lang w:val="en-US" w:eastAsia="zh-CN" w:bidi="ar"/>
              </w:rPr>
              <w:t>包括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不限于</w:t>
            </w:r>
            <w:r>
              <w:rPr>
                <w:rStyle w:val="33"/>
                <w:lang w:val="en-US" w:eastAsia="zh-CN" w:bidi="ar"/>
              </w:rPr>
              <w:t>：自定义预防性维护模板、质控计划制定、计划实施、收、质控到期检测提醒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3"/>
                <w:lang w:val="en-US" w:eastAsia="zh-CN" w:bidi="ar"/>
              </w:rPr>
              <w:t>8、不良事件管理和PDCA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3"/>
                <w:lang w:val="en-US" w:eastAsia="zh-CN" w:bidi="ar"/>
              </w:rPr>
              <w:t>包括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不限于</w:t>
            </w:r>
            <w:r>
              <w:rPr>
                <w:rStyle w:val="33"/>
                <w:lang w:val="en-US" w:eastAsia="zh-CN" w:bidi="ar"/>
              </w:rPr>
              <w:t>：不良事件上报、PDCA录入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3"/>
                <w:lang w:val="en-US" w:eastAsia="zh-CN" w:bidi="ar"/>
              </w:rPr>
              <w:t>9、供应商合同证照管理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33"/>
                <w:lang w:val="en-US" w:eastAsia="zh-CN" w:bidi="ar"/>
              </w:rPr>
              <w:t>包括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不限于</w:t>
            </w:r>
            <w:r>
              <w:rPr>
                <w:rStyle w:val="33"/>
                <w:lang w:val="en-US" w:eastAsia="zh-CN" w:bidi="ar"/>
              </w:rPr>
              <w:t>：生产厂家和供应商维护、证照管理、合同管理、</w:t>
            </w:r>
            <w:r>
              <w:rPr>
                <w:rStyle w:val="33"/>
                <w:rFonts w:hint="eastAsia"/>
                <w:color w:val="0000FF"/>
                <w:lang w:val="en-US" w:eastAsia="zh-CN" w:bidi="ar"/>
              </w:rPr>
              <w:t>证照到期前提醒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3"/>
                <w:lang w:val="en-US" w:eastAsia="zh-CN" w:bidi="ar"/>
              </w:rPr>
              <w:t>10、工作提醒平台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33"/>
                <w:rFonts w:hint="eastAsia"/>
                <w:lang w:val="en-US" w:eastAsia="zh-CN" w:bidi="ar"/>
              </w:rPr>
              <w:t>包括不限于合同到期、</w:t>
            </w:r>
            <w:r>
              <w:rPr>
                <w:rStyle w:val="33"/>
                <w:rFonts w:hint="eastAsia"/>
                <w:color w:val="0000FF"/>
                <w:lang w:val="en-US" w:eastAsia="zh-CN" w:bidi="ar"/>
              </w:rPr>
              <w:t>巡检保养到期、设备报修待处理、维修待验收、质控检查到期、计量周期检定到期等</w:t>
            </w:r>
            <w:r>
              <w:rPr>
                <w:rStyle w:val="33"/>
                <w:lang w:val="en-US" w:eastAsia="zh-CN" w:bidi="ar"/>
              </w:rPr>
              <w:t>工作提醒，</w:t>
            </w:r>
            <w:r>
              <w:rPr>
                <w:rStyle w:val="33"/>
                <w:rFonts w:hint="eastAsia"/>
                <w:color w:val="0000FF"/>
                <w:lang w:val="en-US" w:eastAsia="zh-CN" w:bidi="ar"/>
              </w:rPr>
              <w:t>可自定义工作提醒周期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3"/>
                <w:lang w:val="en-US" w:eastAsia="zh-CN" w:bidi="ar"/>
              </w:rPr>
              <w:t>1</w:t>
            </w:r>
            <w:r>
              <w:rPr>
                <w:rStyle w:val="33"/>
                <w:rFonts w:hint="eastAsia"/>
                <w:lang w:val="en-US" w:eastAsia="zh-CN" w:bidi="ar"/>
              </w:rPr>
              <w:t>1</w:t>
            </w:r>
            <w:r>
              <w:rPr>
                <w:rStyle w:val="33"/>
                <w:lang w:val="en-US" w:eastAsia="zh-CN" w:bidi="ar"/>
              </w:rPr>
              <w:t>、文档培训管理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3"/>
                <w:lang w:val="en-US" w:eastAsia="zh-CN" w:bidi="ar"/>
              </w:rPr>
              <w:t>包括</w:t>
            </w:r>
            <w:r>
              <w:rPr>
                <w:rStyle w:val="33"/>
                <w:rFonts w:hint="eastAsia"/>
                <w:lang w:val="en-US" w:eastAsia="zh-CN" w:bidi="ar"/>
              </w:rPr>
              <w:t>不限于</w:t>
            </w:r>
            <w:r>
              <w:rPr>
                <w:rStyle w:val="33"/>
                <w:lang w:val="en-US" w:eastAsia="zh-CN" w:bidi="ar"/>
              </w:rPr>
              <w:t>：公用文档、培训文档，</w:t>
            </w:r>
            <w:r>
              <w:rPr>
                <w:rStyle w:val="33"/>
                <w:rFonts w:hint="eastAsia"/>
                <w:color w:val="0000FF"/>
                <w:lang w:val="en-US" w:eastAsia="zh-CN" w:bidi="ar"/>
              </w:rPr>
              <w:t>可实时预览、下载。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3"/>
                <w:lang w:val="en-US" w:eastAsia="zh-CN" w:bidi="ar"/>
              </w:rPr>
              <w:t>1</w:t>
            </w:r>
            <w:r>
              <w:rPr>
                <w:rStyle w:val="33"/>
                <w:rFonts w:hint="eastAsia"/>
                <w:lang w:val="en-US" w:eastAsia="zh-CN" w:bidi="ar"/>
              </w:rPr>
              <w:t>2</w:t>
            </w:r>
            <w:r>
              <w:rPr>
                <w:rStyle w:val="33"/>
                <w:lang w:val="en-US" w:eastAsia="zh-CN" w:bidi="ar"/>
              </w:rPr>
              <w:t>、数据报表管理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33"/>
                <w:rFonts w:hint="eastAsia"/>
                <w:color w:val="0000FF"/>
                <w:lang w:val="en-US" w:eastAsia="zh-CN" w:bidi="ar"/>
              </w:rPr>
              <w:t>数据类报表支持多条件检索查询，可导出或在线打印。分析类报表支持以图表、明细形式展现，支持导出或在线打印。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3"/>
                <w:lang w:val="en-US" w:eastAsia="zh-CN" w:bidi="ar"/>
              </w:rPr>
              <w:t>1</w:t>
            </w:r>
            <w:r>
              <w:rPr>
                <w:rStyle w:val="33"/>
                <w:rFonts w:hint="eastAsia"/>
                <w:lang w:val="en-US" w:eastAsia="zh-CN" w:bidi="ar"/>
              </w:rPr>
              <w:t>3</w:t>
            </w:r>
            <w:r>
              <w:rPr>
                <w:rStyle w:val="33"/>
                <w:lang w:val="en-US" w:eastAsia="zh-CN" w:bidi="ar"/>
              </w:rPr>
              <w:t>、移动端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33"/>
                <w:lang w:val="en-US" w:eastAsia="zh-CN" w:bidi="ar"/>
              </w:rPr>
              <w:t>包括</w:t>
            </w:r>
            <w:r>
              <w:rPr>
                <w:rStyle w:val="33"/>
                <w:rFonts w:hint="eastAsia"/>
                <w:lang w:val="en-US" w:eastAsia="zh-CN" w:bidi="ar"/>
              </w:rPr>
              <w:t>不限于</w:t>
            </w:r>
            <w:r>
              <w:rPr>
                <w:rStyle w:val="33"/>
                <w:lang w:val="en-US" w:eastAsia="zh-CN" w:bidi="ar"/>
              </w:rPr>
              <w:t>：移动端扫码报修及查询、维修派工及接单、处理、审批、验收、维修进程查询、</w:t>
            </w:r>
            <w:r>
              <w:rPr>
                <w:rStyle w:val="33"/>
                <w:rFonts w:hint="eastAsia"/>
                <w:lang w:val="en-US" w:eastAsia="zh-CN" w:bidi="ar"/>
              </w:rPr>
              <w:t>资产盘点、</w:t>
            </w:r>
            <w:r>
              <w:rPr>
                <w:rStyle w:val="33"/>
                <w:lang w:val="en-US" w:eastAsia="zh-CN" w:bidi="ar"/>
              </w:rPr>
              <w:t>资产转科、资产报废、资产档案管理、预防性维护管理、</w:t>
            </w:r>
            <w:r>
              <w:rPr>
                <w:rStyle w:val="33"/>
                <w:rFonts w:hint="eastAsia"/>
                <w:lang w:val="en-US" w:eastAsia="zh-CN" w:bidi="ar"/>
              </w:rPr>
              <w:t>耗材扫描出入库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3"/>
                <w:lang w:val="en-US" w:eastAsia="zh-CN" w:bidi="ar"/>
              </w:rPr>
              <w:t>1</w:t>
            </w:r>
            <w:r>
              <w:rPr>
                <w:rStyle w:val="33"/>
                <w:rFonts w:hint="eastAsia"/>
                <w:lang w:val="en-US" w:eastAsia="zh-CN" w:bidi="ar"/>
              </w:rPr>
              <w:t>4</w:t>
            </w:r>
            <w:r>
              <w:rPr>
                <w:rStyle w:val="33"/>
                <w:lang w:val="en-US" w:eastAsia="zh-CN" w:bidi="ar"/>
              </w:rPr>
              <w:t>、临床科室一级管理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3"/>
                <w:lang w:val="en-US" w:eastAsia="zh-CN" w:bidi="ar"/>
              </w:rPr>
              <w:t>包括</w:t>
            </w:r>
            <w:r>
              <w:rPr>
                <w:rStyle w:val="33"/>
                <w:rFonts w:hint="eastAsia"/>
                <w:lang w:val="en-US" w:eastAsia="zh-CN" w:bidi="ar"/>
              </w:rPr>
              <w:t>不限于</w:t>
            </w:r>
            <w:r>
              <w:rPr>
                <w:rStyle w:val="33"/>
                <w:lang w:val="en-US" w:eastAsia="zh-CN" w:bidi="ar"/>
              </w:rPr>
              <w:t>：科室设备日常监测、记录、设备清查设置、清查记录、POCT设备管理及记录、设备质控记录，POCT设备管理记录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3"/>
                <w:lang w:val="en-US" w:eastAsia="zh-CN" w:bidi="ar"/>
              </w:rPr>
              <w:t>1</w:t>
            </w:r>
            <w:r>
              <w:rPr>
                <w:rStyle w:val="33"/>
                <w:rFonts w:hint="eastAsia"/>
                <w:lang w:val="en-US" w:eastAsia="zh-CN" w:bidi="ar"/>
              </w:rPr>
              <w:t>5</w:t>
            </w:r>
            <w:r>
              <w:rPr>
                <w:rStyle w:val="33"/>
                <w:lang w:val="en-US" w:eastAsia="zh-CN" w:bidi="ar"/>
              </w:rPr>
              <w:t>、普通耗材管理/高值耗材管理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宋体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Style w:val="33"/>
                <w:lang w:val="en-US" w:eastAsia="zh-CN" w:bidi="ar"/>
              </w:rPr>
              <w:t>包括</w:t>
            </w:r>
            <w:r>
              <w:rPr>
                <w:rStyle w:val="33"/>
                <w:rFonts w:hint="eastAsia"/>
                <w:lang w:val="en-US" w:eastAsia="zh-CN" w:bidi="ar"/>
              </w:rPr>
              <w:t>不限于</w:t>
            </w:r>
            <w:r>
              <w:rPr>
                <w:rStyle w:val="33"/>
                <w:lang w:val="en-US" w:eastAsia="zh-CN" w:bidi="ar"/>
              </w:rPr>
              <w:t>：</w:t>
            </w:r>
            <w:r>
              <w:rPr>
                <w:rStyle w:val="33"/>
                <w:rFonts w:hint="eastAsia"/>
                <w:lang w:val="en-US" w:eastAsia="zh-CN" w:bidi="ar"/>
              </w:rPr>
              <w:t>物资</w:t>
            </w:r>
            <w:r>
              <w:rPr>
                <w:rStyle w:val="33"/>
                <w:lang w:val="en-US" w:eastAsia="zh-CN" w:bidi="ar"/>
              </w:rPr>
              <w:t>字典维护、室申请采购计划、物资入出入库、退货退库、</w:t>
            </w:r>
            <w:r>
              <w:rPr>
                <w:rStyle w:val="33"/>
                <w:rFonts w:hint="eastAsia"/>
                <w:color w:val="0000FF"/>
                <w:lang w:val="en-US" w:eastAsia="zh-CN" w:bidi="ar"/>
              </w:rPr>
              <w:t>物资盘点及处置、库存查询、耗材低值库存提醒、临床科室二级库管理、物资转科、第三类医用物资及高值耗材管理、物资报表、</w:t>
            </w:r>
            <w:r>
              <w:rPr>
                <w:rFonts w:hint="eastAsia"/>
                <w:lang w:val="en-US" w:eastAsia="zh-CN"/>
              </w:rPr>
              <w:t>物资效期管理功能、证照管理功能。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3"/>
                <w:lang w:val="en-US" w:eastAsia="zh-CN" w:bidi="ar"/>
              </w:rPr>
              <w:t>1</w:t>
            </w:r>
            <w:r>
              <w:rPr>
                <w:rStyle w:val="33"/>
                <w:rFonts w:hint="eastAsia"/>
                <w:lang w:val="en-US" w:eastAsia="zh-CN" w:bidi="ar"/>
              </w:rPr>
              <w:t>6</w:t>
            </w:r>
            <w:r>
              <w:rPr>
                <w:rStyle w:val="33"/>
                <w:lang w:val="en-US" w:eastAsia="zh-CN" w:bidi="ar"/>
              </w:rPr>
              <w:t>、软件对接服务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numPr>
                <w:ilvl w:val="-1"/>
                <w:numId w:val="0"/>
              </w:numPr>
              <w:spacing w:line="360" w:lineRule="auto"/>
              <w:ind w:left="0" w:leftChars="0" w:right="420" w:firstLine="0" w:firstLineChars="0"/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Style w:val="33"/>
                <w:lang w:val="en-US" w:eastAsia="zh-CN" w:bidi="ar"/>
              </w:rPr>
              <w:t>设备管理软件使用对接服务，</w:t>
            </w: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免费</w:t>
            </w:r>
            <w:r>
              <w:rPr>
                <w:rFonts w:hint="eastAsia" w:ascii="仿宋" w:hAnsi="仿宋" w:eastAsia="仿宋"/>
                <w:sz w:val="24"/>
                <w:shd w:val="clear" w:color="auto" w:fill="FFFFFF"/>
                <w:lang w:val="en-US" w:eastAsia="zh-CN"/>
              </w:rPr>
              <w:t>开放</w:t>
            </w: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接口供其它系统使用及认证并承担与本软件相关的用友HRP物资管理系统、财务系统、数字认证等医院信息系统接口费用。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33"/>
                <w:rFonts w:hint="default"/>
                <w:lang w:val="en-US" w:eastAsia="zh-CN" w:bidi="ar"/>
              </w:rPr>
            </w:pPr>
            <w:r>
              <w:rPr>
                <w:rStyle w:val="33"/>
                <w:rFonts w:hint="eastAsia"/>
                <w:lang w:val="en-US" w:eastAsia="zh-CN" w:bidi="ar"/>
              </w:rPr>
              <w:t>17.质保期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lang w:val="en-US" w:eastAsia="zh-CN"/>
              </w:rPr>
              <w:t>质保</w:t>
            </w:r>
            <w:r>
              <w:rPr>
                <w:rFonts w:hint="eastAsia" w:ascii="仿宋" w:hAnsi="仿宋" w:eastAsia="仿宋" w:cs="仿宋"/>
                <w:spacing w:val="-6"/>
                <w:sz w:val="24"/>
              </w:rPr>
              <w:t>期三年</w:t>
            </w:r>
            <w:r>
              <w:rPr>
                <w:rFonts w:hint="eastAsia" w:ascii="仿宋" w:hAnsi="仿宋" w:eastAsia="仿宋" w:cs="仿宋"/>
                <w:spacing w:val="-6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-6"/>
                <w:sz w:val="24"/>
                <w:lang w:val="en-US" w:eastAsia="zh-CN"/>
              </w:rPr>
              <w:t>质保期内各类接口开发、测试服务免费。</w:t>
            </w:r>
          </w:p>
        </w:tc>
      </w:tr>
    </w:tbl>
    <w:p>
      <w:pPr>
        <w:pStyle w:val="13"/>
        <w:shd w:val="clear" w:color="auto" w:fill="FFFFFF"/>
        <w:spacing w:before="210" w:beforeAutospacing="0" w:after="210" w:afterAutospacing="0" w:line="315" w:lineRule="atLeast"/>
        <w:rPr>
          <w:rFonts w:ascii="仿宋" w:hAnsi="仿宋" w:eastAsia="仿宋" w:cs="仿宋"/>
          <w:kern w:val="2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kern w:val="2"/>
          <w:sz w:val="24"/>
          <w:szCs w:val="24"/>
        </w:rPr>
        <w:t>系统配套硬件：</w:t>
      </w:r>
      <w:r>
        <w:rPr>
          <w:rFonts w:ascii="仿宋" w:hAnsi="仿宋" w:eastAsia="仿宋" w:cs="仿宋"/>
          <w:kern w:val="2"/>
          <w:sz w:val="24"/>
          <w:szCs w:val="24"/>
        </w:rPr>
        <w:t xml:space="preserve"> </w:t>
      </w:r>
    </w:p>
    <w:tbl>
      <w:tblPr>
        <w:tblStyle w:val="16"/>
        <w:tblW w:w="8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33"/>
        <w:gridCol w:w="1985"/>
        <w:gridCol w:w="992"/>
        <w:gridCol w:w="992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序号</w:t>
            </w:r>
          </w:p>
        </w:tc>
        <w:tc>
          <w:tcPr>
            <w:tcW w:w="2333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名  称</w:t>
            </w:r>
          </w:p>
        </w:tc>
        <w:tc>
          <w:tcPr>
            <w:tcW w:w="1985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硬件参数要求</w:t>
            </w:r>
          </w:p>
        </w:tc>
        <w:tc>
          <w:tcPr>
            <w:tcW w:w="992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数量</w:t>
            </w:r>
          </w:p>
        </w:tc>
        <w:tc>
          <w:tcPr>
            <w:tcW w:w="1495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覆膜标签打印机</w:t>
            </w:r>
          </w:p>
        </w:tc>
        <w:tc>
          <w:tcPr>
            <w:tcW w:w="1985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覆膜标签打印</w:t>
            </w:r>
          </w:p>
        </w:tc>
        <w:tc>
          <w:tcPr>
            <w:tcW w:w="992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台</w:t>
            </w:r>
          </w:p>
        </w:tc>
        <w:tc>
          <w:tcPr>
            <w:tcW w:w="992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覆膜标签纸</w:t>
            </w:r>
          </w:p>
        </w:tc>
        <w:tc>
          <w:tcPr>
            <w:tcW w:w="1985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30X40mm</w:t>
            </w:r>
          </w:p>
        </w:tc>
        <w:tc>
          <w:tcPr>
            <w:tcW w:w="992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张</w:t>
            </w:r>
          </w:p>
        </w:tc>
        <w:tc>
          <w:tcPr>
            <w:tcW w:w="992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2000</w:t>
            </w:r>
          </w:p>
        </w:tc>
        <w:tc>
          <w:tcPr>
            <w:tcW w:w="1495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显示屏</w:t>
            </w:r>
          </w:p>
        </w:tc>
        <w:tc>
          <w:tcPr>
            <w:tcW w:w="1985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≥65英寸</w:t>
            </w:r>
          </w:p>
        </w:tc>
        <w:tc>
          <w:tcPr>
            <w:tcW w:w="992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台</w:t>
            </w:r>
          </w:p>
        </w:tc>
        <w:tc>
          <w:tcPr>
            <w:tcW w:w="992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1台固定挂墙上，1台配支架可移动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电脑</w:t>
            </w:r>
          </w:p>
        </w:tc>
        <w:tc>
          <w:tcPr>
            <w:tcW w:w="1985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台</w:t>
            </w:r>
          </w:p>
        </w:tc>
        <w:tc>
          <w:tcPr>
            <w:tcW w:w="992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用于管理系统、控制显示屏信息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PDA手持终端</w:t>
            </w:r>
          </w:p>
        </w:tc>
        <w:tc>
          <w:tcPr>
            <w:tcW w:w="1985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2"/>
                <w:sz w:val="24"/>
                <w:szCs w:val="24"/>
              </w:rPr>
              <w:t>台</w:t>
            </w:r>
          </w:p>
        </w:tc>
        <w:tc>
          <w:tcPr>
            <w:tcW w:w="992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6</w:t>
            </w:r>
          </w:p>
        </w:tc>
        <w:tc>
          <w:tcPr>
            <w:tcW w:w="2333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扫码枪</w:t>
            </w:r>
          </w:p>
        </w:tc>
        <w:tc>
          <w:tcPr>
            <w:tcW w:w="1985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2"/>
                <w:sz w:val="24"/>
                <w:szCs w:val="24"/>
              </w:rPr>
              <w:t>台</w:t>
            </w:r>
          </w:p>
        </w:tc>
        <w:tc>
          <w:tcPr>
            <w:tcW w:w="992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8</w:t>
            </w:r>
          </w:p>
        </w:tc>
        <w:tc>
          <w:tcPr>
            <w:tcW w:w="1495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7</w:t>
            </w:r>
          </w:p>
        </w:tc>
        <w:tc>
          <w:tcPr>
            <w:tcW w:w="2333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其他硬件</w:t>
            </w:r>
          </w:p>
        </w:tc>
        <w:tc>
          <w:tcPr>
            <w:tcW w:w="1985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\</w:t>
            </w:r>
          </w:p>
        </w:tc>
        <w:tc>
          <w:tcPr>
            <w:tcW w:w="992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pStyle w:val="13"/>
              <w:spacing w:before="210" w:beforeAutospacing="0" w:after="210" w:afterAutospacing="0" w:line="315" w:lineRule="atLeas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2"/>
                <w:sz w:val="24"/>
                <w:szCs w:val="24"/>
              </w:rPr>
              <w:t>根据本软件系统需要配置</w:t>
            </w:r>
          </w:p>
        </w:tc>
      </w:tr>
    </w:tbl>
    <w:p>
      <w:pPr>
        <w:pStyle w:val="13"/>
        <w:shd w:val="clear" w:color="auto" w:fill="FFFFFF"/>
        <w:spacing w:before="210" w:beforeAutospacing="0" w:after="210" w:afterAutospacing="0" w:line="315" w:lineRule="atLeast"/>
        <w:rPr>
          <w:rFonts w:hint="eastAsia" w:ascii="仿宋" w:hAnsi="仿宋" w:eastAsia="仿宋" w:cs="仿宋"/>
          <w:kern w:val="2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</w:rPr>
        <w:t>注：采购价含安装及相关配件费用。</w:t>
      </w:r>
    </w:p>
    <w:p>
      <w:pPr>
        <w:pStyle w:val="13"/>
        <w:shd w:val="clear" w:color="auto" w:fill="FFFFFF"/>
        <w:spacing w:before="210" w:beforeAutospacing="0" w:after="210" w:afterAutospacing="0" w:line="315" w:lineRule="atLeast"/>
        <w:rPr>
          <w:rFonts w:hint="eastAsia" w:ascii="仿宋" w:hAnsi="仿宋" w:eastAsia="仿宋" w:cs="仿宋"/>
          <w:kern w:val="2"/>
          <w:sz w:val="24"/>
          <w:szCs w:val="24"/>
        </w:rPr>
      </w:pPr>
    </w:p>
    <w:p>
      <w:pPr>
        <w:pStyle w:val="13"/>
        <w:shd w:val="clear" w:color="auto" w:fill="FFFFFF"/>
        <w:spacing w:before="210" w:beforeAutospacing="0" w:after="210" w:afterAutospacing="0" w:line="315" w:lineRule="atLeast"/>
        <w:rPr>
          <w:rFonts w:ascii="仿宋" w:hAnsi="仿宋" w:eastAsia="仿宋" w:cs="仿宋"/>
          <w:kern w:val="2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kern w:val="2"/>
          <w:sz w:val="24"/>
          <w:szCs w:val="24"/>
        </w:rPr>
        <w:t>驻点工程师：</w:t>
      </w:r>
    </w:p>
    <w:p>
      <w:pPr>
        <w:pStyle w:val="13"/>
        <w:shd w:val="clear" w:color="auto" w:fill="FFFFFF"/>
        <w:spacing w:before="210" w:beforeAutospacing="0" w:after="210" w:afterAutospacing="0" w:line="360" w:lineRule="auto"/>
        <w:ind w:firstLine="480" w:firstLineChars="200"/>
        <w:rPr>
          <w:rFonts w:hint="eastAsia" w:ascii="仿宋" w:hAnsi="仿宋" w:eastAsia="仿宋" w:cs="仿宋"/>
          <w:kern w:val="2"/>
          <w:sz w:val="24"/>
          <w:szCs w:val="24"/>
          <w:lang w:eastAsia="zh-CN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/>
        </w:rPr>
        <w:t>除项目实施工程师外，中标方需派驻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/>
        </w:rPr>
        <w:t>驻点</w:t>
      </w:r>
      <w:r>
        <w:rPr>
          <w:rFonts w:hint="eastAsia" w:ascii="仿宋" w:hAnsi="仿宋" w:eastAsia="仿宋" w:cs="仿宋"/>
          <w:kern w:val="2"/>
          <w:sz w:val="24"/>
          <w:szCs w:val="24"/>
        </w:rPr>
        <w:t>工程师1人，时间一年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/>
        </w:rPr>
        <w:t>负责</w:t>
      </w:r>
      <w:r>
        <w:rPr>
          <w:rFonts w:hint="eastAsia" w:ascii="仿宋" w:hAnsi="仿宋" w:eastAsia="仿宋" w:cs="仿宋"/>
          <w:kern w:val="2"/>
          <w:sz w:val="24"/>
          <w:szCs w:val="24"/>
        </w:rPr>
        <w:t>处理医疗设备管理系统方面的事务，并根据采购人设备归口管理部门的安排，按照国家三甲医院标准规范完成历年医疗器械档案建档工作，培训相关人员熟练操作设备管理系统各个模块</w:t>
      </w:r>
      <w:r>
        <w:rPr>
          <w:rFonts w:hint="eastAsia" w:ascii="仿宋" w:hAnsi="仿宋" w:eastAsia="仿宋" w:cs="仿宋"/>
          <w:kern w:val="2"/>
          <w:sz w:val="24"/>
          <w:szCs w:val="24"/>
          <w:lang w:eastAsia="zh-CN"/>
        </w:rPr>
        <w:t>。</w:t>
      </w:r>
    </w:p>
    <w:p>
      <w:pPr>
        <w:pStyle w:val="2"/>
        <w:ind w:left="160" w:leftChars="23" w:hanging="112" w:hangingChars="47"/>
        <w:rPr>
          <w:rFonts w:ascii="仿宋" w:hAnsi="仿宋" w:eastAsia="仿宋"/>
          <w:sz w:val="24"/>
        </w:rPr>
      </w:pPr>
    </w:p>
    <w:p>
      <w:pPr>
        <w:pStyle w:val="2"/>
        <w:ind w:left="160" w:leftChars="23" w:hanging="112" w:hangingChars="47"/>
        <w:rPr>
          <w:rFonts w:ascii="仿宋" w:hAnsi="仿宋" w:eastAsia="仿宋"/>
          <w:sz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8"/>
    <w:multiLevelType w:val="singleLevel"/>
    <w:tmpl w:val="FFFFFF88"/>
    <w:lvl w:ilvl="0" w:tentative="0">
      <w:start w:val="1"/>
      <w:numFmt w:val="decimal"/>
      <w:pStyle w:val="4"/>
      <w:lvlText w:val="%1."/>
      <w:lvlJc w:val="left"/>
      <w:pPr>
        <w:tabs>
          <w:tab w:val="left" w:pos="360"/>
        </w:tabs>
        <w:ind w:left="360" w:hanging="360" w:hangingChars="2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jZmM5NjY1MWZkOTA1NmVjYjc1MzYyZWUwZTY2NTgifQ=="/>
  </w:docVars>
  <w:rsids>
    <w:rsidRoot w:val="00DC5125"/>
    <w:rsid w:val="00007518"/>
    <w:rsid w:val="00023935"/>
    <w:rsid w:val="00032350"/>
    <w:rsid w:val="000445F6"/>
    <w:rsid w:val="000548C4"/>
    <w:rsid w:val="000649D5"/>
    <w:rsid w:val="00067926"/>
    <w:rsid w:val="00072C4A"/>
    <w:rsid w:val="00076C46"/>
    <w:rsid w:val="000B478C"/>
    <w:rsid w:val="000E421B"/>
    <w:rsid w:val="000E704B"/>
    <w:rsid w:val="000E7438"/>
    <w:rsid w:val="000F667A"/>
    <w:rsid w:val="00101094"/>
    <w:rsid w:val="0011412F"/>
    <w:rsid w:val="00122450"/>
    <w:rsid w:val="0012604D"/>
    <w:rsid w:val="00144433"/>
    <w:rsid w:val="001502F3"/>
    <w:rsid w:val="00150E91"/>
    <w:rsid w:val="00155143"/>
    <w:rsid w:val="0017162F"/>
    <w:rsid w:val="00182416"/>
    <w:rsid w:val="001B15EE"/>
    <w:rsid w:val="001B7AAA"/>
    <w:rsid w:val="001C5226"/>
    <w:rsid w:val="001D066C"/>
    <w:rsid w:val="001E5A77"/>
    <w:rsid w:val="001E5ECF"/>
    <w:rsid w:val="00205EFA"/>
    <w:rsid w:val="00214F62"/>
    <w:rsid w:val="00220E63"/>
    <w:rsid w:val="00227E96"/>
    <w:rsid w:val="00257635"/>
    <w:rsid w:val="00257ED7"/>
    <w:rsid w:val="00277E23"/>
    <w:rsid w:val="0028701F"/>
    <w:rsid w:val="002A5EC5"/>
    <w:rsid w:val="002B47C3"/>
    <w:rsid w:val="00310820"/>
    <w:rsid w:val="003158D5"/>
    <w:rsid w:val="00317C8D"/>
    <w:rsid w:val="003611D3"/>
    <w:rsid w:val="00362085"/>
    <w:rsid w:val="0037030B"/>
    <w:rsid w:val="00376F0B"/>
    <w:rsid w:val="0038337C"/>
    <w:rsid w:val="00392179"/>
    <w:rsid w:val="003970DC"/>
    <w:rsid w:val="003977B0"/>
    <w:rsid w:val="003F0115"/>
    <w:rsid w:val="00404C34"/>
    <w:rsid w:val="004078F4"/>
    <w:rsid w:val="00410DE4"/>
    <w:rsid w:val="00427231"/>
    <w:rsid w:val="00432E0E"/>
    <w:rsid w:val="00455676"/>
    <w:rsid w:val="00456239"/>
    <w:rsid w:val="00463A61"/>
    <w:rsid w:val="00491DA9"/>
    <w:rsid w:val="0049725A"/>
    <w:rsid w:val="004C4511"/>
    <w:rsid w:val="004C686D"/>
    <w:rsid w:val="004D0014"/>
    <w:rsid w:val="004E256C"/>
    <w:rsid w:val="004F62CA"/>
    <w:rsid w:val="0050320F"/>
    <w:rsid w:val="00515E92"/>
    <w:rsid w:val="00517621"/>
    <w:rsid w:val="00546626"/>
    <w:rsid w:val="00550288"/>
    <w:rsid w:val="00572C8A"/>
    <w:rsid w:val="0057376C"/>
    <w:rsid w:val="00586CA6"/>
    <w:rsid w:val="005905C3"/>
    <w:rsid w:val="00590653"/>
    <w:rsid w:val="00590877"/>
    <w:rsid w:val="0059314B"/>
    <w:rsid w:val="005A3669"/>
    <w:rsid w:val="005C6676"/>
    <w:rsid w:val="005E615F"/>
    <w:rsid w:val="005F008F"/>
    <w:rsid w:val="005F6240"/>
    <w:rsid w:val="0061249A"/>
    <w:rsid w:val="00622A10"/>
    <w:rsid w:val="00625E04"/>
    <w:rsid w:val="00637F28"/>
    <w:rsid w:val="00681461"/>
    <w:rsid w:val="00694622"/>
    <w:rsid w:val="006B1C65"/>
    <w:rsid w:val="006D1E58"/>
    <w:rsid w:val="006D6743"/>
    <w:rsid w:val="006E76F4"/>
    <w:rsid w:val="006F3F38"/>
    <w:rsid w:val="006F6D02"/>
    <w:rsid w:val="00700C81"/>
    <w:rsid w:val="00724A29"/>
    <w:rsid w:val="00730789"/>
    <w:rsid w:val="00747AAB"/>
    <w:rsid w:val="00765FD5"/>
    <w:rsid w:val="007677B2"/>
    <w:rsid w:val="00776933"/>
    <w:rsid w:val="007E5DD4"/>
    <w:rsid w:val="007F22D5"/>
    <w:rsid w:val="007F48B0"/>
    <w:rsid w:val="0081562E"/>
    <w:rsid w:val="00817273"/>
    <w:rsid w:val="00830CEC"/>
    <w:rsid w:val="008430F5"/>
    <w:rsid w:val="00846367"/>
    <w:rsid w:val="008502C9"/>
    <w:rsid w:val="00852FB0"/>
    <w:rsid w:val="00862A99"/>
    <w:rsid w:val="00875FA2"/>
    <w:rsid w:val="008A5096"/>
    <w:rsid w:val="008A6942"/>
    <w:rsid w:val="008B31E4"/>
    <w:rsid w:val="008B4358"/>
    <w:rsid w:val="008B65BD"/>
    <w:rsid w:val="008C2243"/>
    <w:rsid w:val="008E267F"/>
    <w:rsid w:val="008E5351"/>
    <w:rsid w:val="008E6198"/>
    <w:rsid w:val="009059E0"/>
    <w:rsid w:val="00916757"/>
    <w:rsid w:val="00946FF1"/>
    <w:rsid w:val="00950A97"/>
    <w:rsid w:val="00965486"/>
    <w:rsid w:val="009756F8"/>
    <w:rsid w:val="00982B47"/>
    <w:rsid w:val="00984613"/>
    <w:rsid w:val="00985FA7"/>
    <w:rsid w:val="00991F5B"/>
    <w:rsid w:val="009D35A9"/>
    <w:rsid w:val="00A14D45"/>
    <w:rsid w:val="00A2657A"/>
    <w:rsid w:val="00A309C2"/>
    <w:rsid w:val="00A525F4"/>
    <w:rsid w:val="00A82C83"/>
    <w:rsid w:val="00AD05EC"/>
    <w:rsid w:val="00AF4152"/>
    <w:rsid w:val="00B0293C"/>
    <w:rsid w:val="00B11F6A"/>
    <w:rsid w:val="00B33D36"/>
    <w:rsid w:val="00B43658"/>
    <w:rsid w:val="00B607AE"/>
    <w:rsid w:val="00BF4688"/>
    <w:rsid w:val="00C0513E"/>
    <w:rsid w:val="00C20240"/>
    <w:rsid w:val="00C34855"/>
    <w:rsid w:val="00C432CE"/>
    <w:rsid w:val="00C66147"/>
    <w:rsid w:val="00CB245B"/>
    <w:rsid w:val="00CC35DF"/>
    <w:rsid w:val="00CD269B"/>
    <w:rsid w:val="00CD2DF6"/>
    <w:rsid w:val="00CD7517"/>
    <w:rsid w:val="00D01ABB"/>
    <w:rsid w:val="00D04C3D"/>
    <w:rsid w:val="00D13E1A"/>
    <w:rsid w:val="00D13E9A"/>
    <w:rsid w:val="00D1452E"/>
    <w:rsid w:val="00D22A58"/>
    <w:rsid w:val="00D2414A"/>
    <w:rsid w:val="00D2622E"/>
    <w:rsid w:val="00D31D82"/>
    <w:rsid w:val="00D46715"/>
    <w:rsid w:val="00D46C82"/>
    <w:rsid w:val="00D72227"/>
    <w:rsid w:val="00DA0D05"/>
    <w:rsid w:val="00DB3B38"/>
    <w:rsid w:val="00DC5125"/>
    <w:rsid w:val="00DD742C"/>
    <w:rsid w:val="00DF6C08"/>
    <w:rsid w:val="00E009C6"/>
    <w:rsid w:val="00E01BDB"/>
    <w:rsid w:val="00E24BAD"/>
    <w:rsid w:val="00E366DC"/>
    <w:rsid w:val="00E52E6F"/>
    <w:rsid w:val="00E5466B"/>
    <w:rsid w:val="00E75976"/>
    <w:rsid w:val="00E8030D"/>
    <w:rsid w:val="00E84E90"/>
    <w:rsid w:val="00E96AD3"/>
    <w:rsid w:val="00E96BCD"/>
    <w:rsid w:val="00EB528D"/>
    <w:rsid w:val="00EB75C8"/>
    <w:rsid w:val="00EC1B1D"/>
    <w:rsid w:val="00EC38D6"/>
    <w:rsid w:val="00ED1B04"/>
    <w:rsid w:val="00F046ED"/>
    <w:rsid w:val="00F156D9"/>
    <w:rsid w:val="00F2031A"/>
    <w:rsid w:val="00F25EE4"/>
    <w:rsid w:val="00F27FF0"/>
    <w:rsid w:val="00F4459C"/>
    <w:rsid w:val="00F846CB"/>
    <w:rsid w:val="00FA7BBF"/>
    <w:rsid w:val="00FB1B76"/>
    <w:rsid w:val="00FB29D6"/>
    <w:rsid w:val="00FC481C"/>
    <w:rsid w:val="00FF29BC"/>
    <w:rsid w:val="0BFC3121"/>
    <w:rsid w:val="144A60B5"/>
    <w:rsid w:val="178F7340"/>
    <w:rsid w:val="1D02184D"/>
    <w:rsid w:val="22AB0ECC"/>
    <w:rsid w:val="399F74A1"/>
    <w:rsid w:val="52894A0E"/>
    <w:rsid w:val="55AA7418"/>
    <w:rsid w:val="56F14CAB"/>
    <w:rsid w:val="583354EA"/>
    <w:rsid w:val="5E2A48CA"/>
    <w:rsid w:val="6F2C3968"/>
    <w:rsid w:val="766A2DD4"/>
    <w:rsid w:val="79225615"/>
    <w:rsid w:val="7F6845A2"/>
    <w:rsid w:val="7FF0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9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5"/>
    <w:link w:val="22"/>
    <w:autoRedefine/>
    <w:qFormat/>
    <w:uiPriority w:val="0"/>
    <w:pPr>
      <w:keepNext/>
      <w:keepLines/>
      <w:numPr>
        <w:ilvl w:val="0"/>
        <w:numId w:val="1"/>
      </w:numPr>
      <w:tabs>
        <w:tab w:val="left" w:pos="1145"/>
        <w:tab w:val="clear" w:pos="360"/>
      </w:tabs>
      <w:spacing w:before="260" w:after="260" w:line="416" w:lineRule="auto"/>
      <w:ind w:left="992" w:hanging="567" w:firstLineChars="0"/>
      <w:outlineLvl w:val="1"/>
    </w:pPr>
    <w:rPr>
      <w:rFonts w:ascii="Arial" w:hAnsi="Arial" w:eastAsia="黑体"/>
      <w:b/>
      <w:sz w:val="32"/>
      <w:szCs w:val="20"/>
    </w:rPr>
  </w:style>
  <w:style w:type="paragraph" w:styleId="6">
    <w:name w:val="heading 3"/>
    <w:basedOn w:val="1"/>
    <w:next w:val="1"/>
    <w:link w:val="28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8">
    <w:name w:val="Default Paragraph Font"/>
    <w:autoRedefine/>
    <w:semiHidden/>
    <w:unhideWhenUsed/>
    <w:qFormat/>
    <w:uiPriority w:val="1"/>
  </w:style>
  <w:style w:type="table" w:default="1" w:styleId="1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autoRedefine/>
    <w:unhideWhenUsed/>
    <w:qFormat/>
    <w:uiPriority w:val="0"/>
    <w:pPr>
      <w:ind w:left="100" w:leftChars="200" w:hanging="200" w:hangingChars="200"/>
      <w:contextualSpacing/>
    </w:pPr>
  </w:style>
  <w:style w:type="paragraph" w:styleId="5">
    <w:name w:val="Normal Indent"/>
    <w:basedOn w:val="1"/>
    <w:link w:val="26"/>
    <w:autoRedefine/>
    <w:qFormat/>
    <w:uiPriority w:val="0"/>
    <w:pPr>
      <w:ind w:firstLine="420" w:firstLineChars="200"/>
    </w:pPr>
  </w:style>
  <w:style w:type="paragraph" w:styleId="7">
    <w:name w:val="annotation text"/>
    <w:basedOn w:val="1"/>
    <w:link w:val="30"/>
    <w:autoRedefine/>
    <w:semiHidden/>
    <w:unhideWhenUsed/>
    <w:qFormat/>
    <w:uiPriority w:val="99"/>
    <w:pPr>
      <w:jc w:val="left"/>
    </w:pPr>
  </w:style>
  <w:style w:type="paragraph" w:styleId="8">
    <w:name w:val="Body Text"/>
    <w:basedOn w:val="1"/>
    <w:link w:val="27"/>
    <w:autoRedefine/>
    <w:qFormat/>
    <w:uiPriority w:val="0"/>
    <w:pPr>
      <w:spacing w:line="360" w:lineRule="auto"/>
    </w:pPr>
    <w:rPr>
      <w:rFonts w:eastAsia="仿宋_GB2312"/>
      <w:sz w:val="28"/>
    </w:rPr>
  </w:style>
  <w:style w:type="paragraph" w:styleId="9">
    <w:name w:val="Body Text Indent"/>
    <w:basedOn w:val="1"/>
    <w:link w:val="24"/>
    <w:autoRedefine/>
    <w:semiHidden/>
    <w:unhideWhenUsed/>
    <w:qFormat/>
    <w:uiPriority w:val="99"/>
    <w:pPr>
      <w:spacing w:after="120"/>
      <w:ind w:left="420" w:leftChars="200"/>
    </w:pPr>
  </w:style>
  <w:style w:type="paragraph" w:styleId="10">
    <w:name w:val="Balloon Text"/>
    <w:basedOn w:val="1"/>
    <w:link w:val="32"/>
    <w:autoRedefine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19"/>
      <w:szCs w:val="19"/>
    </w:rPr>
  </w:style>
  <w:style w:type="paragraph" w:styleId="14">
    <w:name w:val="annotation subject"/>
    <w:basedOn w:val="7"/>
    <w:next w:val="7"/>
    <w:link w:val="31"/>
    <w:autoRedefine/>
    <w:semiHidden/>
    <w:unhideWhenUsed/>
    <w:qFormat/>
    <w:uiPriority w:val="99"/>
    <w:rPr>
      <w:b/>
      <w:bCs/>
    </w:rPr>
  </w:style>
  <w:style w:type="paragraph" w:styleId="15">
    <w:name w:val="Body Text First Indent 2"/>
    <w:basedOn w:val="9"/>
    <w:link w:val="25"/>
    <w:autoRedefine/>
    <w:qFormat/>
    <w:uiPriority w:val="0"/>
    <w:pPr>
      <w:ind w:firstLine="420" w:firstLineChars="200"/>
    </w:pPr>
  </w:style>
  <w:style w:type="table" w:styleId="17">
    <w:name w:val="Table Grid"/>
    <w:basedOn w:val="16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annotation reference"/>
    <w:basedOn w:val="18"/>
    <w:autoRedefine/>
    <w:semiHidden/>
    <w:unhideWhenUsed/>
    <w:qFormat/>
    <w:uiPriority w:val="99"/>
    <w:rPr>
      <w:sz w:val="21"/>
      <w:szCs w:val="21"/>
    </w:rPr>
  </w:style>
  <w:style w:type="character" w:customStyle="1" w:styleId="20">
    <w:name w:val="页眉 Char"/>
    <w:basedOn w:val="18"/>
    <w:link w:val="12"/>
    <w:autoRedefine/>
    <w:semiHidden/>
    <w:qFormat/>
    <w:uiPriority w:val="99"/>
    <w:rPr>
      <w:sz w:val="18"/>
      <w:szCs w:val="18"/>
    </w:rPr>
  </w:style>
  <w:style w:type="character" w:customStyle="1" w:styleId="21">
    <w:name w:val="页脚 Char"/>
    <w:basedOn w:val="18"/>
    <w:link w:val="11"/>
    <w:autoRedefine/>
    <w:semiHidden/>
    <w:qFormat/>
    <w:uiPriority w:val="99"/>
    <w:rPr>
      <w:sz w:val="18"/>
      <w:szCs w:val="18"/>
    </w:rPr>
  </w:style>
  <w:style w:type="character" w:customStyle="1" w:styleId="22">
    <w:name w:val="标题 2 Char"/>
    <w:basedOn w:val="18"/>
    <w:link w:val="4"/>
    <w:autoRedefine/>
    <w:qFormat/>
    <w:uiPriority w:val="0"/>
    <w:rPr>
      <w:rFonts w:ascii="Arial" w:hAnsi="Arial" w:eastAsia="黑体" w:cs="Times New Roman"/>
      <w:b/>
      <w:sz w:val="32"/>
      <w:szCs w:val="20"/>
    </w:rPr>
  </w:style>
  <w:style w:type="character" w:customStyle="1" w:styleId="23">
    <w:name w:val="正文文本 Char"/>
    <w:basedOn w:val="18"/>
    <w:link w:val="8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4">
    <w:name w:val="正文文本缩进 Char"/>
    <w:basedOn w:val="18"/>
    <w:link w:val="9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5">
    <w:name w:val="正文首行缩进 2 Char"/>
    <w:basedOn w:val="24"/>
    <w:link w:val="15"/>
    <w:autoRedefine/>
    <w:qFormat/>
    <w:uiPriority w:val="0"/>
  </w:style>
  <w:style w:type="character" w:customStyle="1" w:styleId="26">
    <w:name w:val="正文缩进 Char"/>
    <w:link w:val="5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7">
    <w:name w:val="正文文本 Char1"/>
    <w:link w:val="8"/>
    <w:autoRedefine/>
    <w:qFormat/>
    <w:locked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28">
    <w:name w:val="标题 3 Char"/>
    <w:basedOn w:val="18"/>
    <w:link w:val="6"/>
    <w:autoRedefine/>
    <w:semiHidden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9">
    <w:name w:val="标题 1 Char"/>
    <w:basedOn w:val="18"/>
    <w:link w:val="3"/>
    <w:autoRedefine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0">
    <w:name w:val="批注文字 Char"/>
    <w:basedOn w:val="18"/>
    <w:link w:val="7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1">
    <w:name w:val="批注主题 Char"/>
    <w:basedOn w:val="30"/>
    <w:link w:val="14"/>
    <w:autoRedefine/>
    <w:semiHidden/>
    <w:qFormat/>
    <w:uiPriority w:val="99"/>
    <w:rPr>
      <w:b/>
      <w:bCs/>
    </w:rPr>
  </w:style>
  <w:style w:type="character" w:customStyle="1" w:styleId="32">
    <w:name w:val="批注框文本 Char"/>
    <w:basedOn w:val="18"/>
    <w:link w:val="10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3">
    <w:name w:val="font11"/>
    <w:basedOn w:val="18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4">
    <w:name w:val="font21"/>
    <w:basedOn w:val="18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1450</Words>
  <Characters>8266</Characters>
  <Lines>68</Lines>
  <Paragraphs>19</Paragraphs>
  <TotalTime>255</TotalTime>
  <ScaleCrop>false</ScaleCrop>
  <LinksUpToDate>false</LinksUpToDate>
  <CharactersWithSpaces>9697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2023-08-30T00:47:00Z</dcterms:created>
  <dc:creator>李守正</dc:creator>
  <cp:lastModifiedBy>小峥峥</cp:lastModifiedBy>
  <dcterms:modified xsi:type="dcterms:W3CDTF">2024-03-14T06:17:15Z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78BBC3ECD684406AB988CD57FF8E86EB_13</vt:lpwstr>
  </property>
</Properties>
</file>